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Genèse et trajectoires sociétales du harcèlement en milieu scolaire : Une analyse historique, scientifique et juridique de la reconnaissance des violences entre pairs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L'étude de la violence entre pairs en milieu scolaire, telle qu'elle est envisagée dans le cadre du programme pédagogique PIX-pHARe, nécessite une déconstruction rigoureuse des cadres temporels et conceptuels qui ont présidé à sa reconnaissance. Longtemps perçue comme un épiphénomène de la socialisation juvénile ou une étape nécessaire de l'apprentissage de la vie, la violence répétée entre élèves a subi une métamorphose paradigmatique radicale au cours du dernier demi-siècle.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 rapport analyse le passage d'une culture du silence et du rite institutionnalisé à une ère de protection juridique et de bientraitance, en s'appuyant sur une perspective comparative internationale.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Archéologie de la violence scolaire : La "Préhistoire" du concept (Avant 1970)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Avant les années 1970, le terme « harcèlement » est quasi absent des lexiques pédagogiques et juridiques pour qualifier les interactions entre élèves. Cette période se caractérise par une invisibilité systémique, où la violence horizontale (entre pairs) est souvent occultée par la prépondérance de la violence verticale (institutionnelle et disciplinaire).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silence institutionnel et le paradigme du "durcissement"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Dans les structures éducatives du XIXe et de la première moitié du XXe siècle, la violence entre élèves n'était pas seulement ignorée, elle était parfois tacitement acceptée comme un mécanisme de régulation sociale.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Le modèle de l'établissement-caserne, dominant en France et au Royaume-Uni, privilégiait une discipline rigide visant à forger le caractère des futurs citoyens et soldats. Dans ce contexte, les brimades subies par les plus faibles étaient interprétées comme un test de virilité ou une préparation nécessaire aux rudesses de la vie adulte.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archives révèlent que l'institution scolaire s'est bâtie sur une autorité rigide où les châtiments corporels infligés par les maîtres étaient la norme.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Cette violence descendante créait un environnement où la domination physique était légitimée, favorisant par extension les rapports de force entre élèves.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bizutage et les rites d'initiation : Une violence codifiée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précurseur le plus direct du harcèlement moderne réside dans les pratiques de bizutage (en France), de </w:t>
      </w:r>
      <w:r w:rsidDel="00000000" w:rsidR="00000000" w:rsidRPr="00000000">
        <w:rPr>
          <w:rFonts w:ascii="Google Sans Text" w:cs="Google Sans Text" w:eastAsia="Google Sans Text" w:hAnsi="Google Sans Text"/>
          <w:i w:val="1"/>
          <w:iCs w:val="1"/>
          <w:color w:val="1f1f1f"/>
          <w:rtl w:val="0"/>
        </w:rPr>
        <w:t xml:space="preserve">hazing</w:t>
      </w:r>
      <w:r w:rsidDel="00000000" w:rsidR="00000000" w:rsidRPr="00000000">
        <w:rPr>
          <w:rFonts w:ascii="Google Sans Text" w:cs="Google Sans Text" w:eastAsia="Google Sans Text" w:hAnsi="Google Sans Text"/>
          <w:color w:val="1f1f1f"/>
          <w:rtl w:val="0"/>
        </w:rPr>
        <w:t xml:space="preserve"> (aux États-Unis) ou de </w:t>
      </w:r>
      <w:r w:rsidDel="00000000" w:rsidR="00000000" w:rsidRPr="00000000">
        <w:rPr>
          <w:rFonts w:ascii="Google Sans Text" w:cs="Google Sans Text" w:eastAsia="Google Sans Text" w:hAnsi="Google Sans Text"/>
          <w:i w:val="1"/>
          <w:iCs w:val="1"/>
          <w:color w:val="1f1f1f"/>
          <w:rtl w:val="0"/>
        </w:rPr>
        <w:t xml:space="preserve">ragging</w:t>
      </w:r>
      <w:r w:rsidDel="00000000" w:rsidR="00000000" w:rsidRPr="00000000">
        <w:rPr>
          <w:rFonts w:ascii="Google Sans Text" w:cs="Google Sans Text" w:eastAsia="Google Sans Text" w:hAnsi="Google Sans Text"/>
          <w:color w:val="1f1f1f"/>
          <w:rtl w:val="0"/>
        </w:rPr>
        <w:t xml:space="preserve"> (en Asie du Sud). Ces pratiques, souvent décrites comme des rites de passage, visaient à intégrer les nouveaux venus par l'humiliation et la souffrance partagée.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Dès la fin du Moyen Âge, des universités comme celle de Leipzig en 1495 tentaient d'interdire ces pratiques, signe de leur caractère déjà problématique. Les statuts de l'époque prohibaient d'offenser les « freshmen » par l'insulte, le tourment, ou le fait de les asperger d'urine. Pourtant, ces rites ont perduré, s'institutionnalisant comme un "rite d'institution" marquant le passage à l'élite scolaire.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figure du souffre-douleur dans la littérature classique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littérature du XIXe siècle constitue une source primaire essentielle pour comprendre la perception sociétale de la "tyrannie de cour d'école".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Œuvre (Année)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Thématique du harcèlement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 sociétal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David Copperfield</w:t>
            </w:r>
            <w:r w:rsidDel="00000000" w:rsidR="00000000" w:rsidRPr="00000000">
              <w:rPr>
                <w:rFonts w:ascii="Google Sans Text" w:cs="Google Sans Text" w:eastAsia="Google Sans Text" w:hAnsi="Google Sans Text"/>
                <w:color w:val="1f1f1f"/>
                <w:shd w:fill="auto" w:val="clear"/>
                <w:rtl w:val="0"/>
              </w:rPr>
              <w:t xml:space="preserve"> (1850)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Charles Dickens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L'enfance malheureuse et l'oppression.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violence est vue comme intrinsèque à la rigidité sociale.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Tom Brown's School Days</w:t>
            </w:r>
            <w:r w:rsidDel="00000000" w:rsidR="00000000" w:rsidRPr="00000000">
              <w:rPr>
                <w:rFonts w:ascii="Google Sans Text" w:cs="Google Sans Text" w:eastAsia="Google Sans Text" w:hAnsi="Google Sans Text"/>
                <w:color w:val="1f1f1f"/>
                <w:shd w:fill="auto" w:val="clear"/>
                <w:rtl w:val="0"/>
              </w:rPr>
              <w:t xml:space="preserve"> (1857)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Thomas Hughes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règne de Flashman, le "bully" de l'internat.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harceleur est une figure dont l'éviction ne survient qu'en cas de faute morale grave (ivrognerie).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L'Enfant</w:t>
            </w:r>
            <w:r w:rsidDel="00000000" w:rsidR="00000000" w:rsidRPr="00000000">
              <w:rPr>
                <w:rFonts w:ascii="Google Sans Text" w:cs="Google Sans Text" w:eastAsia="Google Sans Text" w:hAnsi="Google Sans Text"/>
                <w:color w:val="1f1f1f"/>
                <w:shd w:fill="auto" w:val="clear"/>
                <w:rtl w:val="0"/>
              </w:rPr>
              <w:t xml:space="preserve"> (1878)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Jules Vallès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L'éducation violente et les "duretés de l'école".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 souffrance de l'élève reflète l'assujettissement des maîtres.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La naissance de la recherche systématique (1970-1990)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passage de la violence anecdotique au problème de santé publique s'opère dans les pays nordiques à la fin des années 1960.</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Peter-Paul Heinemann et le "Mobbing"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1969, le médecin suédois Peter-Paul Heinemann introduit le terme </w:t>
      </w:r>
      <w:r w:rsidDel="00000000" w:rsidR="00000000" w:rsidRPr="00000000">
        <w:rPr>
          <w:rFonts w:ascii="Google Sans Text" w:cs="Google Sans Text" w:eastAsia="Google Sans Text" w:hAnsi="Google Sans Text"/>
          <w:i w:val="1"/>
          <w:iCs w:val="1"/>
          <w:color w:val="1f1f1f"/>
          <w:rtl w:val="0"/>
        </w:rPr>
        <w:t xml:space="preserve">mobbing</w:t>
      </w:r>
      <w:r w:rsidDel="00000000" w:rsidR="00000000" w:rsidRPr="00000000">
        <w:rPr>
          <w:rFonts w:ascii="Google Sans Text" w:cs="Google Sans Text" w:eastAsia="Google Sans Text" w:hAnsi="Google Sans Text"/>
          <w:color w:val="1f1f1f"/>
          <w:rtl w:val="0"/>
        </w:rPr>
        <w:t xml:space="preserve"> pour décrire le comportement d'un groupe d'enfants s'attaquant à un camarade "déviant". Il s'inspire directement de Konrad Lorenz et de l'éthologie (l'attaque collective d'un groupe contre un intrus). L'insight de Heinemann est de percevoir le harcèlement comme une dynamique de groupe pathologique liée à une décomposition de la société.</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Dan Olweus et la révolution du "Bullying"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début des années 1970, le psychologue Dan Olweus recentre la recherche sur les caractéristiques individuelles de l'agresseur et définit le harcèlement par trois critères :</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L'intentionnalité</w:t>
      </w:r>
      <w:r w:rsidDel="00000000" w:rsidR="00000000" w:rsidRPr="00000000">
        <w:rPr>
          <w:rFonts w:ascii="Google Sans Text" w:cs="Google Sans Text" w:eastAsia="Google Sans Text" w:hAnsi="Google Sans Text"/>
          <w:color w:val="1f1f1f"/>
          <w:rtl w:val="0"/>
        </w:rPr>
        <w:t xml:space="preserve"> : La volonté délibérée de nuire.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répétition</w:t>
      </w:r>
      <w:r w:rsidDel="00000000" w:rsidR="00000000" w:rsidRPr="00000000">
        <w:rPr>
          <w:rFonts w:ascii="Google Sans Text" w:cs="Google Sans Text" w:eastAsia="Google Sans Text" w:hAnsi="Google Sans Text"/>
          <w:color w:val="1f1f1f"/>
          <w:rtl w:val="0"/>
        </w:rPr>
        <w:t xml:space="preserve"> : Les actes s'inscrivent dans une durée certaine.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déséquilibre de pouvoir</w:t>
      </w:r>
      <w:r w:rsidDel="00000000" w:rsidR="00000000" w:rsidRPr="00000000">
        <w:rPr>
          <w:rFonts w:ascii="Google Sans Text" w:cs="Google Sans Text" w:eastAsia="Google Sans Text" w:hAnsi="Google Sans Text"/>
          <w:color w:val="1f1f1f"/>
          <w:rtl w:val="0"/>
        </w:rPr>
        <w:t xml:space="preserve"> : Une asymétrie de forces qui rend la victime incapable de se défendre.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1982, le suicide de trois jeunes Norvégiens provoque une onde de choc nationale, menant à la création de la première campagne nationale de prévention et du programme OBPP.</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L'Évolution Juridique : Du Bizutage à la pénalisation du harcèlement scolaire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France a longtemps maintenu un vide juridique spécifique sur ces questions, traitant les faits par le biais des violences ou menaces de droit commun avant de créer des délits propres.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L'interdiction du bizutage (Loi du 17 juin 1998)</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Avant 1998, le bizutage bénéficiait d'une forme de tolérance institutionnelle, considéré comme une tradition d'intégration.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loi n° 98-468 du 17 juin 1998 a marqué un tournant en créant le délit de bizutage (Article 225-16-1 du Code pénal) :</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Définition</w:t>
      </w:r>
      <w:r w:rsidDel="00000000" w:rsidR="00000000" w:rsidRPr="00000000">
        <w:rPr>
          <w:rFonts w:ascii="Google Sans Text" w:cs="Google Sans Text" w:eastAsia="Google Sans Text" w:hAnsi="Google Sans Text"/>
          <w:color w:val="1f1f1f"/>
          <w:rtl w:val="0"/>
        </w:rPr>
        <w:t xml:space="preserve"> : Le fait d'amener autrui, contre son gré ou non, à subir ou commettre des actes humiliants ou dégradants lors de manifestations liées aux milieux scolaire et socio-éducatif.</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Arguments des opposants</w:t>
      </w:r>
      <w:r w:rsidDel="00000000" w:rsidR="00000000" w:rsidRPr="00000000">
        <w:rPr>
          <w:rFonts w:ascii="Google Sans Text" w:cs="Google Sans Text" w:eastAsia="Google Sans Text" w:hAnsi="Google Sans Text"/>
          <w:color w:val="1f1f1f"/>
          <w:rtl w:val="0"/>
        </w:rPr>
        <w:t xml:space="preserve"> : Les défenseurs invoquaient la cohésion de groupe et la "tradition".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Certains directeurs d'écoles ont longtemps minimisé les faits pour protéger la réputation de leur établissement.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Bilan</w:t>
      </w:r>
      <w:r w:rsidDel="00000000" w:rsidR="00000000" w:rsidRPr="00000000">
        <w:rPr>
          <w:rFonts w:ascii="Google Sans Text" w:cs="Google Sans Text" w:eastAsia="Google Sans Text" w:hAnsi="Google Sans Text"/>
          <w:color w:val="1f1f1f"/>
          <w:rtl w:val="0"/>
        </w:rPr>
        <w:t xml:space="preserve"> : Bien que la loi ait fait évoluer les mentalités, les associations notent la persistance de pratiques sous forme de "week-ends d'intégration" (WEI) où l'alcoolisation extrême reste un levier de domination.</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création du délit de harcèlement scolaire (Loi du 2 mars 2022)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Pendant des décennies, le harcèlement scolaire était poursuivi sous la qualification générique de « harcèlement moral ». La loi Balanant (n° 2022-299) a créé un délit spécifique pour créer un « électrochoc » sociétal.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Sanctions pénales</w:t>
      </w:r>
      <w:r w:rsidDel="00000000" w:rsidR="00000000" w:rsidRPr="00000000">
        <w:rPr>
          <w:rFonts w:ascii="Google Sans Text" w:cs="Google Sans Text" w:eastAsia="Google Sans Text" w:hAnsi="Google Sans Text"/>
          <w:color w:val="1f1f1f"/>
          <w:rtl w:val="0"/>
        </w:rPr>
        <w:t xml:space="preserve"> : Le délit est puni de 3 ans de prison et 45 000 € d'amende, peine portée à 10 ans et 150 000 € si les faits ont conduit au suicide ou à une tentative de suicide.</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Responsabilité institutionnelle</w:t>
      </w:r>
      <w:r w:rsidDel="00000000" w:rsidR="00000000" w:rsidRPr="00000000">
        <w:rPr>
          <w:rFonts w:ascii="Google Sans Text" w:cs="Google Sans Text" w:eastAsia="Google Sans Text" w:hAnsi="Google Sans Text"/>
          <w:color w:val="1f1f1f"/>
          <w:rtl w:val="0"/>
        </w:rPr>
        <w:t xml:space="preserve"> : La loi impose aux établissements publics et privés de prendre des mesures appropriées de lutte et de prévention.</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Chiffres et effectivité</w:t>
      </w:r>
      <w:r w:rsidDel="00000000" w:rsidR="00000000" w:rsidRPr="00000000">
        <w:rPr>
          <w:rFonts w:ascii="Google Sans Text" w:cs="Google Sans Text" w:eastAsia="Google Sans Text" w:hAnsi="Google Sans Text"/>
          <w:color w:val="1f1f1f"/>
          <w:rtl w:val="0"/>
        </w:rPr>
        <w:t xml:space="preserve"> : Entre mars 2022 et décembre 2024, 10 100 affaires ont été enregistrées par les parquets, aboutissant à 240 condamnations en première instance.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Comparaison internationale des modèles juridiques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Modèle dominant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Approche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Finlande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Prévention (KiVa)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Focalisation sur les témoins pour briser la validation sociale de l'agresseur.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États-Unis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Répression / "Zero Tolerance"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Variabilité selon les États avec une forte judiciarisation dès les premiers incidents.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Situationnel / Groupe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L'ijime est traité comme une pathologie du lien social liée au conformisme.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Sri Lanka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Pénalisation du Ragging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Loi de 1998 avec des peines sévères pour les rites d'initiation universitaires.</w:t>
            </w:r>
          </w:p>
        </w:tc>
      </w:tr>
    </w:tbl>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Les Acteurs de la Lutte : Mouvements Sociaux et Militantisme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passage à l'action publique est le résultat d'une mobilisation constante de chercheurs et d'associations de victimes.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Les pionniers et chercheurs engagés</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Dan Olweus</w:t>
      </w:r>
      <w:r w:rsidDel="00000000" w:rsidR="00000000" w:rsidRPr="00000000">
        <w:rPr>
          <w:rFonts w:ascii="Google Sans Text" w:cs="Google Sans Text" w:eastAsia="Google Sans Text" w:hAnsi="Google Sans Text"/>
          <w:color w:val="1f1f1f"/>
          <w:rtl w:val="0"/>
        </w:rPr>
        <w:t xml:space="preserve"> : Père de la recherche systématique, il a transformé la compréhension clinique du phénomène dès 1970.</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Éric Debarbieux</w:t>
      </w:r>
      <w:r w:rsidDel="00000000" w:rsidR="00000000" w:rsidRPr="00000000">
        <w:rPr>
          <w:rFonts w:ascii="Google Sans Text" w:cs="Google Sans Text" w:eastAsia="Google Sans Text" w:hAnsi="Google Sans Text"/>
          <w:color w:val="1f1f1f"/>
          <w:rtl w:val="0"/>
        </w:rPr>
        <w:t xml:space="preserve"> : En France, il a imposé le sujet dès les années 1990 par des enquêtes de victimation massives (1996, 1999) prouvant l'ampleur du "climat scolaire".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Jean-Pierre Bellon et Bertrand Gardette</w:t>
      </w:r>
      <w:r w:rsidDel="00000000" w:rsidR="00000000" w:rsidRPr="00000000">
        <w:rPr>
          <w:rFonts w:ascii="Google Sans Text" w:cs="Google Sans Text" w:eastAsia="Google Sans Text" w:hAnsi="Google Sans Text"/>
          <w:color w:val="1f1f1f"/>
          <w:rtl w:val="0"/>
        </w:rPr>
        <w:t xml:space="preserve"> : Fondateurs de l'APHEE (2007), ils ont introduit en France la "méthode de la préoccupation partagée" pour traiter les situations sans stigmatiser.</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Les associations : Du deuil au lobbying politique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associations ont joué un rôle clé pour briser la "loi du silence" :</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CNCB (Comité National Contre le Bizutage)</w:t>
      </w:r>
      <w:r w:rsidDel="00000000" w:rsidR="00000000" w:rsidRPr="00000000">
        <w:rPr>
          <w:rFonts w:ascii="Google Sans Text" w:cs="Google Sans Text" w:eastAsia="Google Sans Text" w:hAnsi="Google Sans Text"/>
          <w:color w:val="1f1f1f"/>
          <w:rtl w:val="0"/>
        </w:rPr>
        <w:t xml:space="preserve"> : Créé en 1997, moteur de la loi de 1998.</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e-Enfance (2005)</w:t>
      </w:r>
      <w:r w:rsidDel="00000000" w:rsidR="00000000" w:rsidRPr="00000000">
        <w:rPr>
          <w:rFonts w:ascii="Google Sans Text" w:cs="Google Sans Text" w:eastAsia="Google Sans Text" w:hAnsi="Google Sans Text"/>
          <w:color w:val="1f1f1f"/>
          <w:rtl w:val="0"/>
        </w:rPr>
        <w:t xml:space="preserve"> : Pionnière de la lutte contre les cyberviolences, opératrice du numéro 3018.</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Marion La Main Tendue (2014)</w:t>
      </w:r>
      <w:r w:rsidDel="00000000" w:rsidR="00000000" w:rsidRPr="00000000">
        <w:rPr>
          <w:rFonts w:ascii="Google Sans Text" w:cs="Google Sans Text" w:eastAsia="Google Sans Text" w:hAnsi="Google Sans Text"/>
          <w:color w:val="1f1f1f"/>
          <w:rtl w:val="0"/>
        </w:rPr>
        <w:t xml:space="preserve"> : Créée par Nora Fraisse après le suicide de sa fille Marion, l'association a largement contribué à la médiatisation et à l'inscription du harcèlement dans la loi de 2013.</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HUGO! (2018)</w:t>
      </w:r>
      <w:r w:rsidDel="00000000" w:rsidR="00000000" w:rsidRPr="00000000">
        <w:rPr>
          <w:rFonts w:ascii="Google Sans Text" w:cs="Google Sans Text" w:eastAsia="Google Sans Text" w:hAnsi="Google Sans Text"/>
          <w:color w:val="1f1f1f"/>
          <w:rtl w:val="0"/>
        </w:rPr>
        <w:t xml:space="preserve"> : Fondée par Hugo Martinez, elle mobilise les jeunes par le biais de la culture et du cinéma.</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Résistances et contre-discours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 voix discordantes subsistent, invoquant parfois une "fragilité" de la nouvelle génération ou une "judiciarisation" excessive de l'école. Les défenseurs des traditions de bizutage maintiennent que ces rites créent des "liens forts", alors que les psychologues alertent sur les traumatismes durables et le risque de suicide.</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Évolution des représentations culturelles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culture est passée d'une vision romancée ou comique du "souffre-douleur" à une dénonciation crue du harcèlement comme drame social.</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Cinéma et Séries : Un miroir social</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L'approche clinique</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Elephant</w:t>
      </w:r>
      <w:r w:rsidDel="00000000" w:rsidR="00000000" w:rsidRPr="00000000">
        <w:rPr>
          <w:rFonts w:ascii="Google Sans Text" w:cs="Google Sans Text" w:eastAsia="Google Sans Text" w:hAnsi="Google Sans Text"/>
          <w:color w:val="1f1f1f"/>
          <w:rtl w:val="0"/>
        </w:rPr>
        <w:t xml:space="preserve"> (Gus Van Sant, 2003) montre l'indifférence du groupe menant à l'explosion de violence.</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regard de l'enfant</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Un Monde</w:t>
      </w:r>
      <w:r w:rsidDel="00000000" w:rsidR="00000000" w:rsidRPr="00000000">
        <w:rPr>
          <w:rFonts w:ascii="Google Sans Text" w:cs="Google Sans Text" w:eastAsia="Google Sans Text" w:hAnsi="Google Sans Text"/>
          <w:color w:val="1f1f1f"/>
          <w:rtl w:val="0"/>
        </w:rPr>
        <w:t xml:space="preserve"> (Laura Wandel, 2021) filme la violence ordinaire de la cour d'école à hauteur d'enfant.</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choc médiatique</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13 Reasons Why</w:t>
      </w:r>
      <w:r w:rsidDel="00000000" w:rsidR="00000000" w:rsidRPr="00000000">
        <w:rPr>
          <w:rFonts w:ascii="Google Sans Text" w:cs="Google Sans Text" w:eastAsia="Google Sans Text" w:hAnsi="Google Sans Text"/>
          <w:color w:val="1f1f1f"/>
          <w:rtl w:val="0"/>
        </w:rPr>
        <w:t xml:space="preserve"> (Netflix, 2017) a déclenché un débat mondial sur l'effet domino du harcèlement et du suicide.</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cyberharcèlement</w:t>
      </w:r>
      <w:r w:rsidDel="00000000" w:rsidR="00000000" w:rsidRPr="00000000">
        <w:rPr>
          <w:rFonts w:ascii="Google Sans Text" w:cs="Google Sans Text" w:eastAsia="Google Sans Text" w:hAnsi="Google Sans Text"/>
          <w:color w:val="1f1f1f"/>
          <w:rtl w:val="0"/>
        </w:rPr>
        <w:t xml:space="preserve"> : La série </w:t>
      </w:r>
      <w:r w:rsidDel="00000000" w:rsidR="00000000" w:rsidRPr="00000000">
        <w:rPr>
          <w:rFonts w:ascii="Google Sans Text" w:cs="Google Sans Text" w:eastAsia="Google Sans Text" w:hAnsi="Google Sans Text"/>
          <w:i w:val="1"/>
          <w:iCs w:val="1"/>
          <w:color w:val="1f1f1f"/>
          <w:rtl w:val="0"/>
        </w:rPr>
        <w:t xml:space="preserve">Adolescence</w:t>
      </w:r>
      <w:r w:rsidDel="00000000" w:rsidR="00000000" w:rsidRPr="00000000">
        <w:rPr>
          <w:rFonts w:ascii="Google Sans Text" w:cs="Google Sans Text" w:eastAsia="Google Sans Text" w:hAnsi="Google Sans Text"/>
          <w:color w:val="1f1f1f"/>
          <w:rtl w:val="0"/>
        </w:rPr>
        <w:t xml:space="preserve"> (2025) explore les micro-violences numériques invisibles pour les adultes.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Littérature et témoignages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genre du témoignage est devenu un outil politique puissant. Le récit de Nora Fraisse, </w:t>
      </w:r>
      <w:r w:rsidDel="00000000" w:rsidR="00000000" w:rsidRPr="00000000">
        <w:rPr>
          <w:rFonts w:ascii="Google Sans Text" w:cs="Google Sans Text" w:eastAsia="Google Sans Text" w:hAnsi="Google Sans Text"/>
          <w:i w:val="1"/>
          <w:iCs w:val="1"/>
          <w:color w:val="1f1f1f"/>
          <w:rtl w:val="0"/>
        </w:rPr>
        <w:t xml:space="preserve">Marion, 13 ans pour toujours</w:t>
      </w:r>
      <w:r w:rsidDel="00000000" w:rsidR="00000000" w:rsidRPr="00000000">
        <w:rPr>
          <w:rFonts w:ascii="Google Sans Text" w:cs="Google Sans Text" w:eastAsia="Google Sans Text" w:hAnsi="Google Sans Text"/>
          <w:color w:val="1f1f1f"/>
          <w:rtl w:val="0"/>
        </w:rPr>
        <w:t xml:space="preserve"> (2015), a servi de base à un film et à une prise de conscience nationale sur le lien entre harcèlement et outils numériques.</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Ressources pédagogiques et témoins (PIX-pHARe)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Documentaires et supports audiovisuels</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"Harcèlement scolaire, tous témoins"</w:t>
      </w:r>
      <w:r w:rsidDel="00000000" w:rsidR="00000000" w:rsidRPr="00000000">
        <w:rPr>
          <w:rFonts w:ascii="Google Sans Text" w:cs="Google Sans Text" w:eastAsia="Google Sans Text" w:hAnsi="Google Sans Text"/>
          <w:color w:val="1f1f1f"/>
          <w:rtl w:val="0"/>
        </w:rPr>
        <w:t xml:space="preserve"> (Julien Artru, 2025) : Analyse le rôle crucial du témoin.</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"Marion, 13 ans pour toujours"</w:t>
      </w:r>
      <w:r w:rsidDel="00000000" w:rsidR="00000000" w:rsidRPr="00000000">
        <w:rPr>
          <w:rFonts w:ascii="Google Sans Text" w:cs="Google Sans Text" w:eastAsia="Google Sans Text" w:hAnsi="Google Sans Text"/>
          <w:color w:val="1f1f1f"/>
          <w:rtl w:val="0"/>
        </w:rPr>
        <w:t xml:space="preserve"> : Utilisable pour illustrer l'impact familial et le silence institutionnel.</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Clips "Non au harcèlement"</w:t>
      </w:r>
      <w:r w:rsidDel="00000000" w:rsidR="00000000" w:rsidRPr="00000000">
        <w:rPr>
          <w:rFonts w:ascii="Google Sans Text" w:cs="Google Sans Text" w:eastAsia="Google Sans Text" w:hAnsi="Google Sans Text"/>
          <w:color w:val="1f1f1f"/>
          <w:rtl w:val="0"/>
        </w:rPr>
        <w:t xml:space="preserve"> : Notamment les lauréats 2025 comme le clip "Tous différents, jamais indifférents".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Experts et Grands Témoins</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Nora Fraisse</w:t>
      </w:r>
      <w:r w:rsidDel="00000000" w:rsidR="00000000" w:rsidRPr="00000000">
        <w:rPr>
          <w:rFonts w:ascii="Google Sans Text" w:cs="Google Sans Text" w:eastAsia="Google Sans Text" w:hAnsi="Google Sans Text"/>
          <w:color w:val="1f1f1f"/>
          <w:rtl w:val="0"/>
        </w:rPr>
        <w:t xml:space="preserve"> : Pour le combat associatif et le cyberharcèlement.</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Jean-Pierre Bellon</w:t>
      </w:r>
      <w:r w:rsidDel="00000000" w:rsidR="00000000" w:rsidRPr="00000000">
        <w:rPr>
          <w:rFonts w:ascii="Google Sans Text" w:cs="Google Sans Text" w:eastAsia="Google Sans Text" w:hAnsi="Google Sans Text"/>
          <w:color w:val="1f1f1f"/>
          <w:rtl w:val="0"/>
        </w:rPr>
        <w:t xml:space="preserve"> : Pour l'explication des mécanismes de groupe et de la méthode Pikas.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Éric Debarbieux</w:t>
      </w:r>
      <w:r w:rsidDel="00000000" w:rsidR="00000000" w:rsidRPr="00000000">
        <w:rPr>
          <w:rFonts w:ascii="Google Sans Text" w:cs="Google Sans Text" w:eastAsia="Google Sans Text" w:hAnsi="Google Sans Text"/>
          <w:color w:val="1f1f1f"/>
          <w:rtl w:val="0"/>
        </w:rPr>
        <w:t xml:space="preserve"> : Pour la dimension historique et sociologique du climat scolaire.</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HARCÈLEMENT, UN CONCEPT RÉVÉLATEUR D'UN ... - CHUV, consulté le février 4, 2026, </w:t>
      </w:r>
      <w:hyperlink r:id="rId6">
        <w:r w:rsidDel="00000000" w:rsidR="00000000" w:rsidRPr="00000000">
          <w:rPr>
            <w:rFonts w:ascii="Google Sans" w:cs="Google Sans" w:eastAsia="Google Sans" w:hAnsi="Google Sans"/>
            <w:color w:val="0000ee"/>
            <w:sz w:val="24"/>
            <w:szCs w:val="24"/>
            <w:u w:val="single"/>
            <w:rtl w:val="0"/>
          </w:rPr>
          <w:t xml:space="preserve">https://www.chuv.ch/fileadmin/sites/ihm/Documents/29._2025_Le_harce__lement__un_concept_re__ve__lateur_d_un_abus_de_pouvoir_particulier.pdf</w:t>
        </w:r>
      </w:hyperlink>
      <w:r w:rsidDel="00000000" w:rsidR="00000000" w:rsidRPr="00000000">
        <w:rPr>
          <w:rtl w:val="0"/>
        </w:rPr>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Blessures d'école - Ligue de l'Enseignement, consulté le février 4, 2026, </w:t>
      </w:r>
      <w:hyperlink r:id="rId7">
        <w:r w:rsidDel="00000000" w:rsidR="00000000" w:rsidRPr="00000000">
          <w:rPr>
            <w:rFonts w:ascii="Google Sans" w:cs="Google Sans" w:eastAsia="Google Sans" w:hAnsi="Google Sans"/>
            <w:color w:val="0000ee"/>
            <w:sz w:val="24"/>
            <w:szCs w:val="24"/>
            <w:u w:val="single"/>
            <w:rtl w:val="0"/>
          </w:rPr>
          <w:t xml:space="preserve">https://ligue-enseignement.be/sites/default/files/2022-07/blessures_ecole.pdf</w:t>
        </w:r>
      </w:hyperlink>
      <w:r w:rsidDel="00000000" w:rsidR="00000000" w:rsidRPr="00000000">
        <w:rPr>
          <w:rtl w:val="0"/>
        </w:rPr>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mal-vivre à l'école : une longue histoire ? - OpenEdition Journals, consulté le février 4, 2026, </w:t>
      </w:r>
      <w:hyperlink r:id="rId8">
        <w:r w:rsidDel="00000000" w:rsidR="00000000" w:rsidRPr="00000000">
          <w:rPr>
            <w:rFonts w:ascii="Google Sans" w:cs="Google Sans" w:eastAsia="Google Sans" w:hAnsi="Google Sans"/>
            <w:color w:val="0000ee"/>
            <w:sz w:val="24"/>
            <w:szCs w:val="24"/>
            <w:u w:val="single"/>
            <w:rtl w:val="0"/>
          </w:rPr>
          <w:t xml:space="preserve">https://journals.openedition.org/ree/13112</w:t>
        </w:r>
      </w:hyperlink>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lutte contre le harcèlement scolaire - YouTube, consulté le février 4, 2026, </w:t>
      </w:r>
      <w:hyperlink r:id="rId9">
        <w:r w:rsidDel="00000000" w:rsidR="00000000" w:rsidRPr="00000000">
          <w:rPr>
            <w:rFonts w:ascii="Google Sans" w:cs="Google Sans" w:eastAsia="Google Sans" w:hAnsi="Google Sans"/>
            <w:color w:val="0000ee"/>
            <w:sz w:val="24"/>
            <w:szCs w:val="24"/>
            <w:u w:val="single"/>
            <w:rtl w:val="0"/>
          </w:rPr>
          <w:t xml:space="preserve">https://www.youtube.com/watch?v=effQYMmo3DI</w:t>
        </w:r>
      </w:hyperlink>
      <w:r w:rsidDel="00000000" w:rsidR="00000000" w:rsidRPr="00000000">
        <w:rPr>
          <w:rtl w:val="0"/>
        </w:rPr>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Chapitre 1. Comprendre | Cairn.info, consulté le février 4, 2026, </w:t>
      </w:r>
      <w:hyperlink r:id="rId10">
        <w:r w:rsidDel="00000000" w:rsidR="00000000" w:rsidRPr="00000000">
          <w:rPr>
            <w:rFonts w:ascii="Google Sans" w:cs="Google Sans" w:eastAsia="Google Sans" w:hAnsi="Google Sans"/>
            <w:color w:val="0000ee"/>
            <w:sz w:val="24"/>
            <w:szCs w:val="24"/>
            <w:u w:val="single"/>
            <w:rtl w:val="0"/>
          </w:rPr>
          <w:t xml:space="preserve">https://shs.cairn.info/harcelement-en-milieu-scolaire--9782100804566-page-21?lang=fr</w:t>
        </w:r>
      </w:hyperlink>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Ils sont venus pour les enfants - à www.publications.gc.ca, consulté le février 4, 2026, </w:t>
      </w:r>
      <w:hyperlink r:id="rId11">
        <w:r w:rsidDel="00000000" w:rsidR="00000000" w:rsidRPr="00000000">
          <w:rPr>
            <w:rFonts w:ascii="Google Sans" w:cs="Google Sans" w:eastAsia="Google Sans" w:hAnsi="Google Sans"/>
            <w:color w:val="0000ee"/>
            <w:sz w:val="24"/>
            <w:szCs w:val="24"/>
            <w:u w:val="single"/>
            <w:rtl w:val="0"/>
          </w:rPr>
          <w:t xml:space="preserve">https://publications.gc.ca/collections/collection_2012/cvrc-trcc/IR4-4-2012-fra.pdf</w:t>
        </w:r>
      </w:hyperlink>
      <w:r w:rsidDel="00000000" w:rsidR="00000000" w:rsidRPr="00000000">
        <w:rPr>
          <w:rtl w:val="0"/>
        </w:rPr>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Pupil Violence: Bullying Theory ... - Semantic Scholar, consulté le février 4, 2026, </w:t>
      </w:r>
      <w:hyperlink r:id="rId12">
        <w:r w:rsidDel="00000000" w:rsidR="00000000" w:rsidRPr="00000000">
          <w:rPr>
            <w:rFonts w:ascii="Google Sans" w:cs="Google Sans" w:eastAsia="Google Sans" w:hAnsi="Google Sans"/>
            <w:color w:val="0000ee"/>
            <w:sz w:val="24"/>
            <w:szCs w:val="24"/>
            <w:u w:val="single"/>
            <w:rtl w:val="0"/>
          </w:rPr>
          <w:t xml:space="preserve">https://pdfs.semanticscholar.org/4236/dda614b409bfc94583740ca5d448c7e9e1ee.pdf</w:t>
        </w:r>
      </w:hyperlink>
      <w:r w:rsidDel="00000000" w:rsidR="00000000" w:rsidRPr="00000000">
        <w:rPr>
          <w:rtl w:val="0"/>
        </w:rPr>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Révoltes de lycéens, révoltes d'adolescents au xix e siècle, consulté le février 4, 2026, </w:t>
      </w:r>
      <w:hyperlink r:id="rId13">
        <w:r w:rsidDel="00000000" w:rsidR="00000000" w:rsidRPr="00000000">
          <w:rPr>
            <w:rFonts w:ascii="Google Sans" w:cs="Google Sans" w:eastAsia="Google Sans" w:hAnsi="Google Sans"/>
            <w:color w:val="0000ee"/>
            <w:sz w:val="24"/>
            <w:szCs w:val="24"/>
            <w:u w:val="single"/>
            <w:rtl w:val="0"/>
          </w:rPr>
          <w:t xml:space="preserve">https://journals.openedition.org/histoire-education/842</w:t>
        </w:r>
      </w:hyperlink>
      <w:r w:rsidDel="00000000" w:rsidR="00000000" w:rsidRPr="00000000">
        <w:rPr>
          <w:rtl w:val="0"/>
        </w:rPr>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Bullying and the Abuse of Power - PMC - NIH, consulté le février 4, 2026,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https://pmc.ncbi.nlm.nih.gov/articles/PMC10112998/</w:t>
        </w:r>
      </w:hyperlink>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Ragging as an expression of power in a deeply divided society - NIH, consulté le février 4,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https://pmc.ncbi.nlm.nih.gov/articles/PMC9273066/</w:t>
        </w:r>
      </w:hyperlink>
      <w:r w:rsidDel="00000000" w:rsidR="00000000" w:rsidRPr="00000000">
        <w:rPr>
          <w:rtl w:val="0"/>
        </w:rPr>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Copperfield de Charles Dickens , séquences pédagogiques ..., consulté le février 4, 2026, </w:t>
      </w:r>
      <w:hyperlink r:id="rId16">
        <w:r w:rsidDel="00000000" w:rsidR="00000000" w:rsidRPr="00000000">
          <w:rPr>
            <w:rFonts w:ascii="Google Sans" w:cs="Google Sans" w:eastAsia="Google Sans" w:hAnsi="Google Sans"/>
            <w:color w:val="0000ee"/>
            <w:sz w:val="24"/>
            <w:szCs w:val="24"/>
            <w:u w:val="single"/>
            <w:rtl w:val="0"/>
          </w:rPr>
          <w:t xml:space="preserve">https://classiques.ecoledesloisirs.fr/livre/CLA-David-Copperfield</w:t>
        </w:r>
      </w:hyperlink>
      <w:r w:rsidDel="00000000" w:rsidR="00000000" w:rsidRPr="00000000">
        <w:rPr>
          <w:rtl w:val="0"/>
        </w:rPr>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CAMPAGNE 2020 - Ministère de l'Éducation nationale, consulté le février 4, 2026, </w:t>
      </w:r>
      <w:hyperlink r:id="rId17">
        <w:r w:rsidDel="00000000" w:rsidR="00000000" w:rsidRPr="00000000">
          <w:rPr>
            <w:rFonts w:ascii="Google Sans" w:cs="Google Sans" w:eastAsia="Google Sans" w:hAnsi="Google Sans"/>
            <w:color w:val="0000ee"/>
            <w:sz w:val="24"/>
            <w:szCs w:val="24"/>
            <w:u w:val="single"/>
            <w:rtl w:val="0"/>
          </w:rPr>
          <w:t xml:space="preserve">https://www.education.gouv.fr/sites/default/files/2021-09/guide-p-dagogique-non-au-harc-lement-93848.pdf</w:t>
        </w:r>
      </w:hyperlink>
      <w:r w:rsidDel="00000000" w:rsidR="00000000" w:rsidRPr="00000000">
        <w:rPr>
          <w:rtl w:val="0"/>
        </w:rPr>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L'événement historique national du système des pensionnats ..., consulté le février 4, 2026, </w:t>
      </w:r>
      <w:hyperlink r:id="rId18">
        <w:r w:rsidDel="00000000" w:rsidR="00000000" w:rsidRPr="00000000">
          <w:rPr>
            <w:rFonts w:ascii="Google Sans" w:cs="Google Sans" w:eastAsia="Google Sans" w:hAnsi="Google Sans"/>
            <w:color w:val="0000ee"/>
            <w:sz w:val="24"/>
            <w:szCs w:val="24"/>
            <w:u w:val="single"/>
            <w:rtl w:val="0"/>
          </w:rPr>
          <w:t xml:space="preserve">https://parcs.canada.ca/culture/designation/evenement-event/sys-pensionnats-residential-school-sys</w:t>
        </w:r>
      </w:hyperlink>
      <w:r w:rsidDel="00000000" w:rsidR="00000000" w:rsidRPr="00000000">
        <w:rPr>
          <w:rtl w:val="0"/>
        </w:rPr>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mobbing en milieu académique - FQPPU, consulté le février 4, 2026, </w:t>
      </w:r>
      <w:hyperlink r:id="rId19">
        <w:r w:rsidDel="00000000" w:rsidR="00000000" w:rsidRPr="00000000">
          <w:rPr>
            <w:rFonts w:ascii="Google Sans" w:cs="Google Sans" w:eastAsia="Google Sans" w:hAnsi="Google Sans"/>
            <w:color w:val="0000ee"/>
            <w:sz w:val="24"/>
            <w:szCs w:val="24"/>
            <w:u w:val="single"/>
            <w:rtl w:val="0"/>
          </w:rPr>
          <w:t xml:space="preserve">https://fqppu.org/wp-content/uploads/2023/12/RapportMobbing_FINAL.pdf</w:t>
        </w:r>
      </w:hyperlink>
      <w:r w:rsidDel="00000000" w:rsidR="00000000" w:rsidRPr="00000000">
        <w:rPr>
          <w:rtl w:val="0"/>
        </w:rPr>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prévention du harcèlement à l'École, consulté le février 4, 2026, </w:t>
      </w:r>
      <w:hyperlink r:id="rId20">
        <w:r w:rsidDel="00000000" w:rsidR="00000000" w:rsidRPr="00000000">
          <w:rPr>
            <w:rFonts w:ascii="Google Sans" w:cs="Google Sans" w:eastAsia="Google Sans" w:hAnsi="Google Sans"/>
            <w:color w:val="0000ee"/>
            <w:sz w:val="24"/>
            <w:szCs w:val="24"/>
            <w:u w:val="single"/>
            <w:rtl w:val="0"/>
          </w:rPr>
          <w:t xml:space="preserve">https://www.education.gouv.fr/media/10478/download</w:t>
        </w:r>
      </w:hyperlink>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 Brown's Schooldays, by Thomas Hughes - Project Gutenberg, consulté le février 4, 2026, </w:t>
      </w:r>
      <w:hyperlink r:id="rId21">
        <w:r w:rsidDel="00000000" w:rsidR="00000000" w:rsidRPr="00000000">
          <w:rPr>
            <w:rFonts w:ascii="Google Sans" w:cs="Google Sans" w:eastAsia="Google Sans" w:hAnsi="Google Sans"/>
            <w:color w:val="0000ee"/>
            <w:sz w:val="24"/>
            <w:szCs w:val="24"/>
            <w:u w:val="single"/>
            <w:rtl w:val="0"/>
          </w:rPr>
          <w:t xml:space="preserve">https://www.gutenberg.org/files/1480/1480-h/1480-h.htm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ducation.gouv.fr/media/10478/download" TargetMode="External"/><Relationship Id="rId11" Type="http://schemas.openxmlformats.org/officeDocument/2006/relationships/hyperlink" Target="https://publications.gc.ca/collections/collection_2012/cvrc-trcc/IR4-4-2012-fra.pdf" TargetMode="External"/><Relationship Id="rId10" Type="http://schemas.openxmlformats.org/officeDocument/2006/relationships/hyperlink" Target="https://shs.cairn.info/harcelement-en-milieu-scolaire--9782100804566-page-21?lang=fr" TargetMode="External"/><Relationship Id="rId21" Type="http://schemas.openxmlformats.org/officeDocument/2006/relationships/hyperlink" Target="https://www.gutenberg.org/files/1480/1480-h/1480-h.htm" TargetMode="External"/><Relationship Id="rId13" Type="http://schemas.openxmlformats.org/officeDocument/2006/relationships/hyperlink" Target="https://journals.openedition.org/histoire-education/842" TargetMode="External"/><Relationship Id="rId12" Type="http://schemas.openxmlformats.org/officeDocument/2006/relationships/hyperlink" Target="https://pdfs.semanticscholar.org/4236/dda614b409bfc94583740ca5d448c7e9e1e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effQYMmo3DI" TargetMode="External"/><Relationship Id="rId15" Type="http://schemas.openxmlformats.org/officeDocument/2006/relationships/hyperlink" Target="https://pmc.ncbi.nlm.nih.gov/articles/PMC9273066/" TargetMode="External"/><Relationship Id="rId14" Type="http://schemas.openxmlformats.org/officeDocument/2006/relationships/hyperlink" Target="https://pmc.ncbi.nlm.nih.gov/articles/PMC10112998/" TargetMode="External"/><Relationship Id="rId17" Type="http://schemas.openxmlformats.org/officeDocument/2006/relationships/hyperlink" Target="https://www.education.gouv.fr/sites/default/files/2021-09/guide-p-dagogique-non-au-harc-lement-93848.pdf" TargetMode="External"/><Relationship Id="rId16" Type="http://schemas.openxmlformats.org/officeDocument/2006/relationships/hyperlink" Target="https://classiques.ecoledesloisirs.fr/livre/CLA-David-Copperfield" TargetMode="External"/><Relationship Id="rId5" Type="http://schemas.openxmlformats.org/officeDocument/2006/relationships/styles" Target="styles.xml"/><Relationship Id="rId19" Type="http://schemas.openxmlformats.org/officeDocument/2006/relationships/hyperlink" Target="https://fqppu.org/wp-content/uploads/2023/12/RapportMobbing_FINAL.pdf" TargetMode="External"/><Relationship Id="rId6" Type="http://schemas.openxmlformats.org/officeDocument/2006/relationships/hyperlink" Target="https://www.chuv.ch/fileadmin/sites/ihm/Documents/29._2025_Le_harce__lement__un_concept_re__ve__lateur_d_un_abus_de_pouvoir_particulier.pdf" TargetMode="External"/><Relationship Id="rId18" Type="http://schemas.openxmlformats.org/officeDocument/2006/relationships/hyperlink" Target="https://parcs.canada.ca/culture/designation/evenement-event/sys-pensionnats-residential-school-sys" TargetMode="External"/><Relationship Id="rId7" Type="http://schemas.openxmlformats.org/officeDocument/2006/relationships/hyperlink" Target="https://ligue-enseignement.be/sites/default/files/2022-07/blessures_ecole.pdf" TargetMode="External"/><Relationship Id="rId8" Type="http://schemas.openxmlformats.org/officeDocument/2006/relationships/hyperlink" Target="https://journals.openedition.org/ree/131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